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Supplementary Material S5 — SHAP-Based Explainability</w:t>
      </w:r>
    </w:p>
    <w:p>
      <w:r>
        <w:t>Supplementary Figure S5. Individual-level SHAP interpretation</w:t>
      </w:r>
    </w:p>
    <w:p>
      <w:r>
        <w:t>Panel S5A. SHAP force plots</w:t>
      </w:r>
    </w:p>
    <w:p>
      <w:r>
        <w:t>Force plots illustrate individual prediction decompositions. Red elements denote features pushing risk upward, whereas blue elements indicate risk-lowering effects.</w:t>
      </w:r>
    </w:p>
    <w:p>
      <w:r>
        <w:drawing>
          <wp:inline xmlns:a="http://schemas.openxmlformats.org/drawingml/2006/main" xmlns:pic="http://schemas.openxmlformats.org/drawingml/2006/picture">
            <wp:extent cx="5486400" cy="1219527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5a_Force_pof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5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189428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5a_Force_mortality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894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175536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5a_Force_composit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755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——————————</w:t>
      </w:r>
    </w:p>
    <w:p>
      <w:r>
        <w:t>Panel S5B. SHAP dependence plots</w:t>
      </w:r>
    </w:p>
    <w:p>
      <w:r>
        <w:t>Dependence plots show how changes in key predictors (e.g., creatinine, BUN, P/F ratio, pH, lactate, PTT) influence model output. These patterns highlight the central role of renal function, oxygenation, perfusion, and acid–base status in early deterioration.</w:t>
      </w:r>
    </w:p>
    <w:p>
      <w:r>
        <w:drawing>
          <wp:inline xmlns:a="http://schemas.openxmlformats.org/drawingml/2006/main" xmlns:pic="http://schemas.openxmlformats.org/drawingml/2006/picture">
            <wp:extent cx="5029200" cy="4097713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5b_Dep_composite_creatinine_max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977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409883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5b_Dep_composite_pao2fio2ratio_min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988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4098584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5b_Dep_composite_ph_mi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985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4098584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5b_Dep_mortality_admission_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985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4099966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5b_Dep_mortality_bun_max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999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4098584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5b_Dep_mortality_ptt_min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985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409883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5b_Dep_pof_creatinine_max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988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409883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5b_Dep_pof_pao2fio2ratio_min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988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4098584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5b_Dep_pof_ph_mi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98584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